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2017/393 vom 22. Juni 2010</w:t>
      </w:r>
    </w:p>
    <w:p>
      <w:r>
        <w:t>Sg Versicherungsgericht, 2010-06-22, DE</w:t>
      </w:r>
    </w:p>
    <w:p>
      <w:r>
        <w:rPr>
          <w:b/>
        </w:rPr>
        <w:t xml:space="preserve">Quelle: </w:t>
      </w:r>
      <w:r>
        <w:t>https://mcp.opencaselaw.ch/entscheid/sg_publikationen_IV 2017_393</w:t>
      </w:r>
    </w:p>
    <w:p>
      <w:r>
        <w:t>FR: SG_VERSICHERUNGSGERICHT IV 2017/393 du 22 juin 2010</w:t>
      </w:r>
    </w:p>
    <w:p>
      <w:r>
        <w:t>IT: SG_VERSICHERUNGSGERICHT IV 2017/393 del 22 giugno 2010</w:t>
      </w:r>
    </w:p>
    <w:p>
      <w:pPr>
        <w:pStyle w:val="Heading2"/>
      </w:pPr>
      <w:r>
        <w:t>Regeste</w:t>
      </w:r>
    </w:p>
    <w:p>
      <w:r>
        <w:t>Art. 16 ATSG. Verwertbarkeit der Restarbeitsfähigkeit bejaht für im massgeblichen Zeitpunkt 59 1/2 jährigen Beschwerdeführer, der in leichten bis und mit mittelschweren, rückenschonenden, vorwiegend sitzenden Tätigkeiten 100 % arbeitsfähig ist (Entscheid des Versicherungsgerichts des Kantons St. Gallen vom 28. November 2018, IV 2017/393). Bestätigt durch Urteil des Bundesgerichts 8C_77/2019.</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bildet das Gutachten der Neurologie G.___ AG vom 12. Juli 2017 (IV-act. 209). Dessen Beweistauglichkeit ist unbestritten. 2.2  Der orthopädische Gutachter umschrieb folgendes Zumutbarkeitsprofil: Körperlich schwere und überwiegend schwere Tätigkeiten seien nicht, sehr leichte bis mittelschwere Arbeiten seien ohne zeitliche Einschränkung zumutbar. Arbeiten mit frei wählbarer Körperhaltung und -stellung sowie mit leichter Wechselbelastung mit Stehen und Gehen bis 20 % der Arbeitszeit seien möglich. Die Gehstrecke sei auf eine Stunde reduziert, eine ergonomisch orientierte sitzende (wenigstens 80 %) Tätigkeit sei anzustreben. Arbeiten in Rumpfbeugung und nicht achsgerechter Bewegung der Wirbelsäule sowie zeitweise (bis 10 % der Arbeitszeit) mit Besteigen von Hockern, Treppen und Trittstufen, Arbeiten mit gelegentlichem Treppensteigen und zeitweise Arbeiten auf Gerüsten, Leitern, Dächern, Bühnen und Stegen seien möglich. Arbeiten unter Einwirkung von Hitze, Kälte und Temperaturschwankungen in Gebäuden sowie unter Einwirkung von Staub, Gas, Dampf oder Rauch seien zumindest zeitweise möglich. Kraftanstrengende Armarbeiten rechts sowie gelegentliches oder häufiges Bücken oder Knien und Arbeiten im Hocken sowie das Bücken zum Aufheben von Lasten am langen Arm rechts seien nicht zumutbar (IV-act. 209-27, 31 f.). Die Symptome würden grundsätzlich glaubhaft dargestellt, jedoch erscheine die geschilderte Intensität der Schmerzen nicht glaubhaft (IV-act. 209-27 f.). In der Tätigkeit als Gipser bestehe aufgrund der aufsummierten Degenerationen auf orthopädischem Teilgebiet seit ca. 2010 eine 100 %ige Arbeitsunfähigkeit. In leidensangepasster Tätigkeit ergebe sich seit jeher eine 100 %ige Arbeitsfähigkeit (IV-act. 209-30, 32). 2.3  Der psychiatrische Experte stellte die Diagnosen einer Dysthymie (ICD-10: F34.1) sowie einer chronischen Schmerzstörung mit somatischen und psychischen Faktoren (ICD-10: F45.41; IV-act. 209-45). Er führte aus, der Beschwerdeführer präsentiere sich mit einer subdepressiv morosen Stimmungslage bei im Wesentlichen nicht eingeschränkter sozialer Partizipation mit erhaltener Tagesstruktur, Alltagsaktivitäten, Reisetätigkeit und Interesse an politischen Ereignissen in der Heimat. Sein Denken sei eingeengt auf die körperlichen Funktionen. Psychosoziale Belastungsfaktoren (Tod der Mutter, Tod des ältesten Sohnes, Arbeitsunfähigkeit der Ehefrau, Sorge um drogenabhängigen Sohn) würden somatisch verarbeitet und führten zu einer phasenweisen Verstärkung und dauerhaften Aufrechterhaltung der Schmerzsymptomatik. Die einfache Persönlichkeitsstruktur des Versicherten lasse kein tiefgreifendes Verständnis für psychophysische Zusammenhänge erkennen. Es liege eine chronische depressive Störung im Sinne einer Dysthymie vor (IV-act. 209-46). Die geschilderten Symptome, der psychopathologische Befund und die Vorgeschichte seien stimmig für das Bild einer dysthymen Störung. Eine mittelgradige depressive Episode mit somatischem Syndrom bestehe zum Zeitpunkt der Untersuchung deshalb nicht, weil die erforderlichen Kernsymptome einer depressiven Störung nicht erfüllt seien. Der Versicherte zeige nicht bei allen Tätigkeiten eine ausgeprägte Müdigkeit, der Schlaf werde trotz nicht ausreichender Konzentration eines Schlaf anstossenden Antidepressivums nicht als wesentlich gestört angegeben (IV-act. 209-49). Die chronischen Schmerzen seien nicht typisch für eine Dysthymie, deshalb sei (zusätzlich) eine chronische Schmerzstörung mit somatischen und psychischen Faktoren (ICD-10: F45.411) zu diagnostizieren (IV-act. 209-46 f.). Die von Dr. F.___ ebenfalls diagnostizierte somatoforme Schmerzstörung (ICD-10: F45.4) müsse dahingehend ergänzt werden, dass körperliche Störungen des Bewegungsapparates zu berücksichtigen seien (IV-act. 209-49). Auf psychiatrischem Gebiet bestünden keine Funktionseinschränkungen (IV-act. 209-47). Die gemessenen Medikamentenspiegel sprächen gegen eine regelmässige Einnahme von Surmontil und Venlafaxin (beides Antidepressiva, vgl. www.compendium.ch; IV-act. 209-47). Die familiäre Unterstützung für den Versicherten müsse als gering eingeschätzt werden. Die erneute Verschlechterung habe sich nach der Heirat der Tochter eingestellt, die nicht mehr zum Unterhalt der Familie habe beitragen können. Die Ehefrau sei ebenfalls erkrankt. Von seinem Sohn und seinen in K.___ lebenden Schwestern sei keine Unterstützung zu erwarten. Eine mögliche Veränderungsmotivation werde behindert durch die vorliegende dysthyme Störung (IV-act. 209-48). Mindestens seit dem Zeitpunkt der erneuten IV-Anmeldung im Jahr 2013 sei aus psychiatrischer Sicht keine Einschränkung der Arbeitsfähigkeit festzustellen (IV-act. 209-50). Dass die behandelnde Psychiaterin dem Beschwerdeführer eine volle Arbeitsunfähigkeit attestiert, ist dadurch erklärbar, dass sie den von ihr gestellten Diagnosen im Gegensatz zum Gutachter Auswirkungen auf die Arbeitsfähigkeit zuerkennt (Arztberichte vom 27. April 2015, IV-act. 176-1, und vom 13. Juni 2016, IV-act. 191-2) und dabei wohl auch die enormen, aber invalidenversicherungsrechtlich nicht zu berücksichtigenden psychosozialen Belastungen mit einbezieht. Demgegenüber trifft der Gutachter seine Einschätzung aufgrund einer Abwägung von Beeinträchtigungen, Ressourcen und Konsistenz, wie es dem für die diagnostizierten Leiden anwendbaren strukturierten Beweisverfahren mittels Indikatoren entspricht (BGE 141 V 281, insb. S. 294 f. E. 3.5 f.; BGE 143 V 415 f. E. 4.5.1 und 143 V 427 ff., E. 7.1). Mit RAD-Arzt Dr. C.___ ist somit auf das Gutachten abzustellen (Stellungnahme vom 17. Juli 2017, IV-act. 210).</w:t>
      </w:r>
    </w:p>
    <w:p>
      <w:r>
        <w:rPr>
          <w:b/>
        </w:rPr>
        <w:t>E. 3</w:t>
      </w:r>
    </w:p>
    <w:p>
      <w:r>
        <w:t>3.1  Zu befinden ist über die Verwertbarkeit der von den Gutachtern attestierten 100 %igen Arbeitsfähigkeit. Der Beschwerdeführer macht im Wesentlichen geltend, diese sei aufgrund seines Alters, seiner nicht vorhandenen Ausbildung und Sprachkompetenz sowie des eingeschränkten medizinischen Zumutbarkeitsprofils nicht mehr gegeben. 3.2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und vom 28. Mai 2009, 9C_918/2008, E. 4.2.2 mit Hinweisen).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Eine verbleibende Aktivitätsdauer von rund fünf Jahren gilt rechtsprechungsgemäss grundsätzlich als ausreichend, um eine neue einfache Erwerbstätigkeit aufzunehmen, sich einzuarbeiten und die Arbeit auszuüben (Urteil des Bundesgerichts vom 19. Juni 2017, 8C_28/2017, E. 5.2, mit Verweis auf Urteil 9C_677/2016 vom 7. März 2017 E. 4.3). Relevant für die wirtschaftliche Verwertbarkeit der Restarbeitsfähigkeit ist sodann deren Ausmass (Urteil des Bundesgerichts vom 19. Mai 2016, 8C_910/2015, E. 4.3.3). 3.3  Der Beschwerdeführer war im massgeblichen Zeitpunkt des Gutachtens der Neurologie G.___ AG vom 12. Juli 2017 rund 59 1/2 Jahre alt. Gemäss beweiskräftigem Gutachten besteht in adaptierten Tätigkeiten eine Arbeitsfähigkeit von 100 %. Das medizinische Zumutbarkeitsprofil (E. 2.2) umfasst im Wesentlichen körperlich leichte bis mittelschwere, wechselbelastende, vorwiegend im Sitzen zu verrichtende Arbeiten, welche den rechten Arm bzw. die rechte Schulter nicht stark belasten. Auch wenn die Gutachter keine konkreten Verweistätigkeiten nennen, ist der Beschwerdeführer aus medizinischen Gründen nicht ausschliesslich auf eine "Bürotätigkeit" verwiesen. Er fährt Auto (IV-act. 209-39), so dass neben Kontroll-, Überwachungs-, Sortier- und Verpackungstätigkeiten sowie leichten Montagearbeiten auch leichte Kurierdienste möglich sind. Auch weitere wechselbelastende Hilfsarbeiten mit geringer körperlicher Anstrengung kommen gemäss dem orthopädischen Gutachter in Betracht (IV-act. 209-28). Zu berücksichtigen ist indes, dass beim Beschwerdeführer die Wiedereingliederung durch mangelnde Sprachkenntnis und fehlende berufliche Ausbildung erschwert ist (vgl. Gutachten, IV-act. 209-51). Der durch die in der bisherigen Tätigkeit als angelernter Gipser nicht mehr gegebene Arbeitsfähigkeit bedingte Tätigkeitswechsel erfordert somit einen gewissen Umstellungs- und Anpassungsaufwand. Hinzu kommt, dass beim Beschwerdeführer erhebliche psychosoziale Belastungsfaktoren vorliegen. Diese sind zwar für die Arbeitsfähigkeitsschätzung auszuklammern, wirken sich aber nachvollziehbarerweise zusätzlich negativ auf die Belastbarkeit aus. Schliesslich wird gemäss psychiatrischem Teilgutachten die Veränderungsmotivation durch die dysthyme Störung erschwert, deren Auswirkungen jedoch gemäss Gutachten überwindbar sind (IV-act. 209-48). 3.4  Das Eidgenössische Versicherungsgericht (seit 1. Januar 2007 Sozialrechtliche Abteilungen des Bundesgerichts; EVG) hat bezüglich einem etwa 60-jährigen Versicherten, welcher mehrheitlich als Wirker in der Textilindustrie tätig gewesen war, ausgeführt, mit Bezug auf den hypothetischen ausgeglichenen Arbeitsmarkt bestünden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vom 5. August 2005, I 376/05 insbesondere E. 4.2). Weiter erachtete das Bundesgericht die Chancen eines zwar nicht leicht vermittelbaren 60 Jahre alten Versicherten,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war, auf eine Anstellung für intakt (Urteil vom 28. Mai 2009, 9C_918/2008 E. 4.3). Es hat etwa bei einem 62 3/4-jährigen Versicherten, welcher nur noch vorwiegend sitzende oder wechselbelastende Arbeiten ausführen konnte, an den oberen Extremitäten aber nicht beeinträchtigt war und dem somit feinmotorische Tätigkeiten trotz fehlender diesbezüglicher Erfahrung in Form von Sortier- und Überwachungsarbeiten möglich waren, die Verwertbarkeit der 100 %igen Arbeitsfähigkeit in adaptierten Tätigkeiten bejaht (Urteil 8C_345/2013 vom 10. September 2013 E. 3.3 f. und 4.3.3). In einem am 19. August 2015 beurteilten Fall kam es bei einem ähnlichen Zumutbarkeitsprofil wie demjenigen des Beschwerdeführers im vorliegenden Verfahren (namentlich vorwiegend sitzende Tätigkeiten) eines 61 Jahre alten Versicherten zum Schluss, die vollzeitliche Arbeitsfähigkeit sei verwertbar (Urteil 8C_330/2015, E. 3.1 f.). Das Fehlen von Sprach- und PC-Kenntnissen führte bei einem 57-jährigen Versicherten nicht zur Verneinung der Verwertbarkeit der vollen Arbeitsfähigkeit für leichte, wechselbelastend ausübbare Erwerbstätigkeiten (Urteil vom 25. Juli 2016, 8C_324/2016, E. 4.3.2 ff.). Verneint wurde hingegen u.a. die Verwertbarkeit der Restarbeitsfähigkeit eines 61 1/2 jährigen gelernten Mechanikers, dem im Umfang von 50 % leichte Verweistätigkeiten (Montage, Recycling, leichtere Magazinertätigkeiten und vor allem Büroarbeiten) zumutbar waren. Massgebend war dabei nicht nur der Berufswechsel und die damit verbundene erforderliche hohe Anpassungsfähigkeit, sondern auch die selbst in einer adaptierten Tätigkeit reduzierte Arbeitsfähigkeit mit notwendigen zwischenzeitlichen Erholungsphasen (Urteil des EVG vom 10. März 2003, I 617/02. E. 3.2.1 und 3.3). 3.5  Dem entsprechend und ebenso mit Blick auf die strenge Rechtsprechung des Bundesgerichts kann davon ausgegangen werden, dass der im massgeblichen Zeitpunkt noch nicht 60-jährige Beschwerdeführer seine volle Arbeitsfähigkeit in leichten und mittelschweren, rückenschonenden, die rechte Schulter und den rechten Arm nicht belastenden Tätigkeiten auf dem hypothetisch ausgeglichenen Arbeitsmarkt realistischerweise noch verwerten kann.</w:t>
      </w:r>
    </w:p>
    <w:p>
      <w:r>
        <w:rPr>
          <w:b/>
        </w:rPr>
        <w:t>E. 4</w:t>
      </w:r>
    </w:p>
    <w:p>
      <w:r>
        <w:t>Bei erneuter Anmeldung zum Leistungsbezug am 16. Juli 2013 (IV-act. 126) besteht ein allfälliger Rentenanspruch frühestens ab 1. Januar 2014. Das Jahr 2014 ist somit massgebend für den Einkommensvergleich (BGE 129 V 222). Für die Bemessung des Valideneinkommens ist auf den Tabellenlohn gemäss Lohnstrukturentwicklung (LSE) des Bundesamtes für Statistik (BFS) 2014 im Baugewerbe abzustellen (vgl. Entscheid des Versicherungsgerichts vom 16. April 2012, IV-act. 116-11). Dieser beträgt Fr. 5'816.-- (TA1_b, Ziff. 41-43, Männer ohne Kaderfunktion). Hochgerechnet auf die betriebsübliche Arbeitszeit von 41,5 Stunden pro Woche (BFS, Betriebsübliche Arbeitszeit nach Wirtschaftsabteilungen, Ziff. 41-43) und 12 Monate beträgt das Valideneinkommen Fr. 72'409.--. Dem Invalideneinkommen ist das Durchschnittseinkommen Kompetenzniveau 1, Männer, zugrunde zu legen. Dieses belief sich 2014 auf Fr. 66'453.-- (Informationsstelle AHV/IV, IV, Ausgabe 2018, Bern 2018, Anhang 2). Selbst bei Gewährung des maximalen Tabellenlohnabzugs von 25 % (BGE 126 V 80 E. 5b/cc) würde ein Invaliditätsgrad von lediglich 31,1 % ([Fr. 72'409.-- - {0,75 x Fr. 66'453.--}] : Fr. 72'409.--) resultieren. Damit hat der Beschwerdeführer keinen Anspruch auf eine Rente der Invalidenversicherung.</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Kostennote eingereicht. In der vorliegend zu beurteilenden Angelegenheit erscheint mit Blick auf das auf die Frage der Verwertbarkeit der Restarbeitsfähigkeit und einen einfachen Schriftenwechsel beschränkte Verfahren eine pauschale Parteientschädigung von Fr. 3‘000.-- angemessen. Diese ist um einen Fünftel zu kürzen (Art. 31 Abs. 3 des Anwaltsgesetzes, sGS 963.70). Somit hat der Staat den Rechtsvertreter des Beschwerdeführers pauschal mit Fr. 2‘400.--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